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76" w:rsidRDefault="00B27876" w:rsidP="00B337A2">
      <w:pPr>
        <w:tabs>
          <w:tab w:val="left" w:pos="6804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E6C63D0" wp14:editId="2F3DFA74">
            <wp:simplePos x="0" y="0"/>
            <wp:positionH relativeFrom="column">
              <wp:posOffset>5462270</wp:posOffset>
            </wp:positionH>
            <wp:positionV relativeFrom="paragraph">
              <wp:posOffset>27305</wp:posOffset>
            </wp:positionV>
            <wp:extent cx="1113790" cy="746125"/>
            <wp:effectExtent l="0" t="0" r="0" b="0"/>
            <wp:wrapNone/>
            <wp:docPr id="3" name="Image 3" descr="logo_fo pe couleur de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 pe couleur defini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8742005" wp14:editId="09FD1DC9">
            <wp:simplePos x="0" y="0"/>
            <wp:positionH relativeFrom="column">
              <wp:posOffset>-519430</wp:posOffset>
            </wp:positionH>
            <wp:positionV relativeFrom="page">
              <wp:posOffset>495300</wp:posOffset>
            </wp:positionV>
            <wp:extent cx="773430" cy="690880"/>
            <wp:effectExtent l="0" t="0" r="7620" b="0"/>
            <wp:wrapNone/>
            <wp:docPr id="4" name="Image 4" descr="C:\Users\IFMI2330\Documents\documents\Logo et en-tête\logo cgt- fo PE national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MI2330\Documents\documents\Logo et en-tête\logo cgt- fo PE national_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62E" w:rsidRDefault="00F4562E" w:rsidP="00B337A2">
      <w:pPr>
        <w:tabs>
          <w:tab w:val="left" w:pos="6804"/>
        </w:tabs>
      </w:pPr>
    </w:p>
    <w:p w:rsidR="00F4562E" w:rsidRDefault="005C04DF" w:rsidP="00F456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fr-F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fr-FR"/>
        </w:rPr>
        <w:t>C</w:t>
      </w:r>
      <w:bookmarkStart w:id="0" w:name="_GoBack"/>
      <w:bookmarkEnd w:id="0"/>
      <w:r w:rsidR="00F4562E" w:rsidRPr="00F4562E">
        <w:rPr>
          <w:rFonts w:ascii="Tahoma" w:eastAsia="Times New Roman" w:hAnsi="Tahoma" w:cs="Tahoma"/>
          <w:color w:val="000000"/>
          <w:sz w:val="36"/>
          <w:szCs w:val="36"/>
          <w:lang w:eastAsia="fr-FR"/>
        </w:rPr>
        <w:t>lassification agents publics du 1er février 2018</w:t>
      </w:r>
      <w:r w:rsidR="00B27876">
        <w:rPr>
          <w:rFonts w:ascii="Tahoma" w:eastAsia="Times New Roman" w:hAnsi="Tahoma" w:cs="Tahoma"/>
          <w:color w:val="000000"/>
          <w:sz w:val="36"/>
          <w:szCs w:val="36"/>
          <w:lang w:eastAsia="fr-FR"/>
        </w:rPr>
        <w:t> :</w:t>
      </w:r>
    </w:p>
    <w:p w:rsidR="00F4562E" w:rsidRPr="00F4562E" w:rsidRDefault="00F4562E" w:rsidP="00F456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F4562E" w:rsidRPr="00F4562E" w:rsidRDefault="00F4562E" w:rsidP="006766CA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</w:pPr>
      <w:r w:rsidRPr="00F4562E"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  <w:t xml:space="preserve">Nous n'avons pris connaissance </w:t>
      </w:r>
      <w:r w:rsidR="00F84688" w:rsidRPr="00F4562E"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  <w:t>des supports</w:t>
      </w:r>
      <w:r w:rsidRPr="00F4562E"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  <w:t xml:space="preserve"> de présentation </w:t>
      </w:r>
      <w:r w:rsidR="00B27876"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  <w:t xml:space="preserve">de la </w:t>
      </w:r>
      <w:r w:rsidRPr="00F4562E"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  <w:t xml:space="preserve">DG que le matin même de la réunion de concertation </w:t>
      </w:r>
      <w:r w:rsidR="00B27876"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  <w:t xml:space="preserve">elle a </w:t>
      </w:r>
      <w:r w:rsidRPr="00F4562E"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  <w:t>transmis sur table. </w:t>
      </w:r>
    </w:p>
    <w:p w:rsidR="00F4562E" w:rsidRPr="006766CA" w:rsidRDefault="00F4562E" w:rsidP="007C077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fr-FR"/>
        </w:rPr>
      </w:pPr>
      <w:r w:rsidRPr="00F4562E">
        <w:rPr>
          <w:rFonts w:ascii="Tahoma" w:eastAsia="Times New Roman" w:hAnsi="Tahoma" w:cs="Tahoma"/>
          <w:b/>
          <w:color w:val="000000"/>
          <w:sz w:val="24"/>
          <w:szCs w:val="24"/>
          <w:lang w:eastAsia="fr-FR"/>
        </w:rPr>
        <w:t xml:space="preserve">Dans ces conditions, n'ayant pas connaissance de ces supports avant la réunion, </w:t>
      </w:r>
      <w:r w:rsidRPr="00F4562E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fr-FR"/>
        </w:rPr>
        <w:t>nous avons indiqué que nous réservions notre avis sur ceux-ci.</w:t>
      </w:r>
    </w:p>
    <w:p w:rsidR="00F4562E" w:rsidRPr="00F4562E" w:rsidRDefault="00F4562E" w:rsidP="00F4562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fr-FR"/>
        </w:rPr>
      </w:pPr>
    </w:p>
    <w:p w:rsidR="00F4562E" w:rsidRDefault="00F4562E" w:rsidP="00F456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F4562E" w:rsidRPr="00F4562E" w:rsidRDefault="00F4562E" w:rsidP="00F4562E">
      <w:pPr>
        <w:spacing w:after="0" w:line="240" w:lineRule="auto"/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</w:pPr>
      <w:r w:rsidRPr="00F4562E"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  <w:t>La clef d'entrée pour la direction est le référentiel métier avec les principes suivants :</w:t>
      </w:r>
    </w:p>
    <w:p w:rsidR="00F4562E" w:rsidRPr="00F4562E" w:rsidRDefault="00F4562E" w:rsidP="00F4562E">
      <w:pPr>
        <w:spacing w:after="0" w:line="240" w:lineRule="auto"/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</w:pPr>
    </w:p>
    <w:p w:rsidR="00F4562E" w:rsidRPr="00F4562E" w:rsidRDefault="00F4562E" w:rsidP="00F4562E">
      <w:pPr>
        <w:spacing w:after="0" w:line="240" w:lineRule="auto"/>
        <w:ind w:hanging="547"/>
        <w:jc w:val="both"/>
        <w:textAlignment w:val="baseline"/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</w:pPr>
      <w:proofErr w:type="gramStart"/>
      <w:r w:rsidRPr="00F4562E"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  <w:t>1.</w:t>
      </w:r>
      <w:r w:rsidRPr="00F4562E">
        <w:rPr>
          <w:rFonts w:ascii="Arial" w:eastAsia="Times New Roman" w:hAnsi="Arial" w:cs="Arial"/>
          <w:b/>
          <w:bCs/>
          <w:i/>
          <w:color w:val="2E74B5" w:themeColor="accent5" w:themeShade="BF"/>
          <w:sz w:val="24"/>
          <w:szCs w:val="24"/>
          <w:lang w:eastAsia="fr-FR"/>
        </w:rPr>
        <w:t>Un</w:t>
      </w:r>
      <w:proofErr w:type="gramEnd"/>
      <w:r w:rsidRPr="00F4562E">
        <w:rPr>
          <w:rFonts w:ascii="Arial" w:eastAsia="Times New Roman" w:hAnsi="Arial" w:cs="Arial"/>
          <w:b/>
          <w:bCs/>
          <w:i/>
          <w:color w:val="2E74B5" w:themeColor="accent5" w:themeShade="BF"/>
          <w:sz w:val="24"/>
          <w:szCs w:val="24"/>
          <w:lang w:eastAsia="fr-FR"/>
        </w:rPr>
        <w:t xml:space="preserve"> emploi est positionné sur un seul cadre d’emploi</w:t>
      </w:r>
    </w:p>
    <w:p w:rsidR="00F4562E" w:rsidRPr="00F4562E" w:rsidRDefault="00F4562E" w:rsidP="00F4562E">
      <w:pPr>
        <w:spacing w:after="0" w:line="240" w:lineRule="auto"/>
        <w:ind w:hanging="547"/>
        <w:jc w:val="both"/>
        <w:textAlignment w:val="baseline"/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</w:pPr>
      <w:proofErr w:type="gramStart"/>
      <w:r w:rsidRPr="00F4562E"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  <w:t>2.</w:t>
      </w:r>
      <w:r w:rsidRPr="00F4562E">
        <w:rPr>
          <w:rFonts w:ascii="Arial" w:eastAsia="Times New Roman" w:hAnsi="Arial" w:cs="Arial"/>
          <w:b/>
          <w:bCs/>
          <w:i/>
          <w:color w:val="2E74B5" w:themeColor="accent5" w:themeShade="BF"/>
          <w:sz w:val="24"/>
          <w:szCs w:val="24"/>
          <w:lang w:eastAsia="fr-FR"/>
        </w:rPr>
        <w:t>Un</w:t>
      </w:r>
      <w:proofErr w:type="gramEnd"/>
      <w:r w:rsidRPr="00F4562E">
        <w:rPr>
          <w:rFonts w:ascii="Arial" w:eastAsia="Times New Roman" w:hAnsi="Arial" w:cs="Arial"/>
          <w:b/>
          <w:bCs/>
          <w:i/>
          <w:color w:val="2E74B5" w:themeColor="accent5" w:themeShade="BF"/>
          <w:sz w:val="24"/>
          <w:szCs w:val="24"/>
          <w:lang w:eastAsia="fr-FR"/>
        </w:rPr>
        <w:t xml:space="preserve"> cadre d’emploi ouvre l’accès à plusieurs emplois</w:t>
      </w:r>
    </w:p>
    <w:p w:rsidR="00F4562E" w:rsidRPr="00F4562E" w:rsidRDefault="00F4562E" w:rsidP="00F4562E">
      <w:pPr>
        <w:spacing w:after="0" w:line="240" w:lineRule="auto"/>
        <w:ind w:hanging="547"/>
        <w:jc w:val="both"/>
        <w:textAlignment w:val="baseline"/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</w:pPr>
      <w:proofErr w:type="gramStart"/>
      <w:r w:rsidRPr="00F4562E"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  <w:t>3.</w:t>
      </w:r>
      <w:r w:rsidRPr="00F4562E">
        <w:rPr>
          <w:rFonts w:ascii="Arial" w:eastAsia="Times New Roman" w:hAnsi="Arial" w:cs="Arial"/>
          <w:b/>
          <w:bCs/>
          <w:i/>
          <w:color w:val="2E74B5" w:themeColor="accent5" w:themeShade="BF"/>
          <w:sz w:val="24"/>
          <w:szCs w:val="24"/>
          <w:lang w:eastAsia="fr-FR"/>
        </w:rPr>
        <w:t>Les</w:t>
      </w:r>
      <w:proofErr w:type="gramEnd"/>
      <w:r w:rsidRPr="00F4562E">
        <w:rPr>
          <w:rFonts w:ascii="Arial" w:eastAsia="Times New Roman" w:hAnsi="Arial" w:cs="Arial"/>
          <w:b/>
          <w:bCs/>
          <w:i/>
          <w:color w:val="2E74B5" w:themeColor="accent5" w:themeShade="BF"/>
          <w:sz w:val="24"/>
          <w:szCs w:val="24"/>
          <w:lang w:eastAsia="fr-FR"/>
        </w:rPr>
        <w:t xml:space="preserve"> emplois sont regroupés par ensemble cohérent de niveaux de responsabilité (en cohérence également avec la classification de droit privé)</w:t>
      </w:r>
    </w:p>
    <w:p w:rsidR="00F4562E" w:rsidRPr="00F4562E" w:rsidRDefault="00F4562E" w:rsidP="00F4562E">
      <w:pPr>
        <w:spacing w:after="0" w:line="240" w:lineRule="auto"/>
        <w:ind w:hanging="547"/>
        <w:jc w:val="both"/>
        <w:textAlignment w:val="baseline"/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</w:pPr>
      <w:proofErr w:type="gramStart"/>
      <w:r w:rsidRPr="00F4562E"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  <w:t>4.</w:t>
      </w:r>
      <w:r w:rsidRPr="00F4562E">
        <w:rPr>
          <w:rFonts w:ascii="Arial" w:eastAsia="Times New Roman" w:hAnsi="Arial" w:cs="Arial"/>
          <w:b/>
          <w:bCs/>
          <w:i/>
          <w:color w:val="2E74B5" w:themeColor="accent5" w:themeShade="BF"/>
          <w:sz w:val="24"/>
          <w:szCs w:val="24"/>
          <w:lang w:eastAsia="fr-FR"/>
        </w:rPr>
        <w:t>La</w:t>
      </w:r>
      <w:proofErr w:type="gramEnd"/>
      <w:r w:rsidRPr="00F4562E">
        <w:rPr>
          <w:rFonts w:ascii="Arial" w:eastAsia="Times New Roman" w:hAnsi="Arial" w:cs="Arial"/>
          <w:b/>
          <w:bCs/>
          <w:i/>
          <w:color w:val="2E74B5" w:themeColor="accent5" w:themeShade="BF"/>
          <w:sz w:val="24"/>
          <w:szCs w:val="24"/>
          <w:lang w:eastAsia="fr-FR"/>
        </w:rPr>
        <w:t xml:space="preserve"> concordance avec la classification de droit privé se fait sur la base du premier niveau d’entrée de l’emploi et de son amplitude</w:t>
      </w:r>
    </w:p>
    <w:p w:rsidR="00F4562E" w:rsidRPr="00F4562E" w:rsidRDefault="00F4562E" w:rsidP="00F4562E">
      <w:pPr>
        <w:spacing w:after="0" w:line="240" w:lineRule="auto"/>
        <w:ind w:hanging="547"/>
        <w:jc w:val="both"/>
        <w:textAlignment w:val="baseline"/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</w:pPr>
      <w:proofErr w:type="gramStart"/>
      <w:r w:rsidRPr="00F4562E">
        <w:rPr>
          <w:rFonts w:ascii="Tahoma" w:eastAsia="Times New Roman" w:hAnsi="Tahoma" w:cs="Tahoma"/>
          <w:i/>
          <w:color w:val="2E74B5" w:themeColor="accent5" w:themeShade="BF"/>
          <w:sz w:val="24"/>
          <w:szCs w:val="24"/>
          <w:lang w:eastAsia="fr-FR"/>
        </w:rPr>
        <w:t>5.</w:t>
      </w:r>
      <w:r w:rsidRPr="00F4562E">
        <w:rPr>
          <w:rFonts w:ascii="Arial" w:eastAsia="Times New Roman" w:hAnsi="Arial" w:cs="Arial"/>
          <w:b/>
          <w:bCs/>
          <w:i/>
          <w:color w:val="2E74B5" w:themeColor="accent5" w:themeShade="BF"/>
          <w:sz w:val="24"/>
          <w:szCs w:val="24"/>
          <w:lang w:eastAsia="fr-FR"/>
        </w:rPr>
        <w:t>L’emploi</w:t>
      </w:r>
      <w:proofErr w:type="gramEnd"/>
      <w:r w:rsidRPr="00F4562E">
        <w:rPr>
          <w:rFonts w:ascii="Arial" w:eastAsia="Times New Roman" w:hAnsi="Arial" w:cs="Arial"/>
          <w:b/>
          <w:bCs/>
          <w:i/>
          <w:color w:val="2E74B5" w:themeColor="accent5" w:themeShade="BF"/>
          <w:sz w:val="24"/>
          <w:szCs w:val="24"/>
          <w:lang w:eastAsia="fr-FR"/>
        </w:rPr>
        <w:t xml:space="preserve"> peut être positionné sur plusieurs grades. Il est possible de choisir de n’ouvrir un emploi qu’à partir ou jusqu’à un certain grade au sein d’un même cadre d’emploi</w:t>
      </w:r>
    </w:p>
    <w:p w:rsidR="00F44748" w:rsidRDefault="00F4562E" w:rsidP="00B337A2">
      <w:pPr>
        <w:ind w:left="1418"/>
        <w:jc w:val="center"/>
      </w:pPr>
      <w:r>
        <w:rPr>
          <w:noProof/>
          <w:lang w:eastAsia="fr-FR"/>
        </w:rPr>
        <w:drawing>
          <wp:inline distT="0" distB="0" distL="0" distR="0" wp14:anchorId="042F7C9F" wp14:editId="7EF97EFA">
            <wp:extent cx="4267200" cy="23291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377" t="18738" r="11683" b="30550"/>
                    <a:stretch/>
                  </pic:blipFill>
                  <pic:spPr bwMode="auto">
                    <a:xfrm>
                      <a:off x="0" y="0"/>
                      <a:ext cx="4282989" cy="2337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2E" w:rsidRPr="00F4562E" w:rsidRDefault="00F4562E" w:rsidP="00F4562E">
      <w:pPr>
        <w:rPr>
          <w:color w:val="2E74B5" w:themeColor="accent5" w:themeShade="BF"/>
          <w:sz w:val="24"/>
          <w:szCs w:val="24"/>
        </w:rPr>
      </w:pPr>
      <w:r w:rsidRPr="00F4562E">
        <w:rPr>
          <w:color w:val="2E74B5" w:themeColor="accent5" w:themeShade="BF"/>
          <w:sz w:val="24"/>
          <w:szCs w:val="24"/>
        </w:rPr>
        <w:t>Puis les cadres d’emploi :</w:t>
      </w:r>
    </w:p>
    <w:p w:rsidR="00F4562E" w:rsidRDefault="00F4562E" w:rsidP="00B337A2">
      <w:pPr>
        <w:ind w:left="1985"/>
        <w:jc w:val="center"/>
      </w:pPr>
      <w:r>
        <w:rPr>
          <w:noProof/>
          <w:lang w:eastAsia="fr-FR"/>
        </w:rPr>
        <w:drawing>
          <wp:inline distT="0" distB="0" distL="0" distR="0" wp14:anchorId="1F7107EC" wp14:editId="3D089119">
            <wp:extent cx="3652838" cy="1812687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977" t="16493" r="10042" b="34394"/>
                    <a:stretch/>
                  </pic:blipFill>
                  <pic:spPr bwMode="auto">
                    <a:xfrm>
                      <a:off x="0" y="0"/>
                      <a:ext cx="3652838" cy="181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EDD" w:rsidRPr="001B4EDD" w:rsidRDefault="001B4EDD" w:rsidP="001B4EDD">
      <w:pPr>
        <w:rPr>
          <w:color w:val="2E74B5" w:themeColor="accent5" w:themeShade="BF"/>
          <w:sz w:val="24"/>
          <w:szCs w:val="24"/>
        </w:rPr>
      </w:pPr>
      <w:r w:rsidRPr="001B4EDD">
        <w:rPr>
          <w:color w:val="2E74B5" w:themeColor="accent5" w:themeShade="BF"/>
          <w:sz w:val="24"/>
          <w:szCs w:val="24"/>
        </w:rPr>
        <w:t>Et les modalités de promotion et d’avancement de grades </w:t>
      </w:r>
      <w:r>
        <w:rPr>
          <w:color w:val="2E74B5" w:themeColor="accent5" w:themeShade="BF"/>
          <w:sz w:val="24"/>
          <w:szCs w:val="24"/>
        </w:rPr>
        <w:t>avec les modalités et les conditions d’éligibilité.</w:t>
      </w:r>
    </w:p>
    <w:p w:rsidR="007C0777" w:rsidRPr="000A4B5D" w:rsidRDefault="000D6335" w:rsidP="007C0777">
      <w:pPr>
        <w:jc w:val="both"/>
        <w:rPr>
          <w:rFonts w:ascii="Tahoma" w:hAnsi="Tahoma" w:cs="Tahoma"/>
          <w:sz w:val="24"/>
          <w:szCs w:val="24"/>
        </w:rPr>
      </w:pPr>
      <w:r w:rsidRPr="000A4B5D">
        <w:rPr>
          <w:rFonts w:ascii="Tahoma" w:hAnsi="Tahoma" w:cs="Tahoma"/>
          <w:sz w:val="24"/>
          <w:szCs w:val="24"/>
        </w:rPr>
        <w:t xml:space="preserve">Suite à cette présentation, nous avons demandé à la direction de nous transmettre les informations suivantes avant </w:t>
      </w:r>
      <w:r w:rsidR="007C0777" w:rsidRPr="000A4B5D">
        <w:rPr>
          <w:rFonts w:ascii="Tahoma" w:hAnsi="Tahoma" w:cs="Tahoma"/>
          <w:sz w:val="24"/>
          <w:szCs w:val="24"/>
        </w:rPr>
        <w:t xml:space="preserve">la prochaine concertation : </w:t>
      </w:r>
    </w:p>
    <w:p w:rsidR="000D6335" w:rsidRPr="000A4B5D" w:rsidRDefault="000D6335" w:rsidP="007C0777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0A4B5D">
        <w:rPr>
          <w:rFonts w:ascii="Tahoma" w:hAnsi="Tahoma" w:cs="Tahoma"/>
          <w:sz w:val="24"/>
          <w:szCs w:val="24"/>
        </w:rPr>
        <w:lastRenderedPageBreak/>
        <w:t>-</w:t>
      </w:r>
      <w:r w:rsidRPr="000A4B5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le nombre d'agents promus REP ou DAPE ou autre niveau d'emploi supérieur depuis le 1er janvier 2013 tous statuts confondus, et statut 2003 </w:t>
      </w:r>
      <w:r w:rsidR="00F84688" w:rsidRPr="000A4B5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(nombre</w:t>
      </w:r>
      <w:r w:rsidRPr="000A4B5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et pourcentage).</w:t>
      </w:r>
    </w:p>
    <w:p w:rsidR="000D6335" w:rsidRDefault="000D6335" w:rsidP="000D6335">
      <w:pPr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0A4B5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- le nombre d’agents publics pour chaque métier repéré, leur âge et coefficient.</w:t>
      </w:r>
    </w:p>
    <w:p w:rsidR="000A4B5D" w:rsidRPr="000A4B5D" w:rsidRDefault="000A4B5D" w:rsidP="000A4B5D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Car, encore une </w:t>
      </w:r>
      <w:r w:rsidR="00F84688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fois, </w:t>
      </w:r>
      <w:r w:rsidRPr="000A4B5D">
        <w:rPr>
          <w:rFonts w:ascii="Tahoma" w:hAnsi="Tahoma" w:cs="Tahoma"/>
          <w:sz w:val="24"/>
          <w:szCs w:val="24"/>
        </w:rPr>
        <w:t xml:space="preserve">cette concertation </w:t>
      </w:r>
      <w:r w:rsidR="00B27876">
        <w:rPr>
          <w:rFonts w:ascii="Tahoma" w:hAnsi="Tahoma" w:cs="Tahoma"/>
          <w:sz w:val="24"/>
          <w:szCs w:val="24"/>
        </w:rPr>
        <w:t>doit être l’occasion de</w:t>
      </w:r>
      <w:r w:rsidRPr="000A4B5D">
        <w:rPr>
          <w:rFonts w:ascii="Tahoma" w:hAnsi="Tahoma" w:cs="Tahoma"/>
          <w:sz w:val="24"/>
          <w:szCs w:val="24"/>
        </w:rPr>
        <w:t xml:space="preserve"> dresser un état des lieux RH précis des perspectives d’évolution de carrière des agents publics en tenant compte</w:t>
      </w:r>
      <w:r w:rsidR="008C0450">
        <w:rPr>
          <w:rFonts w:ascii="Tahoma" w:hAnsi="Tahoma" w:cs="Tahoma"/>
          <w:sz w:val="24"/>
          <w:szCs w:val="24"/>
        </w:rPr>
        <w:t xml:space="preserve"> </w:t>
      </w:r>
      <w:r w:rsidR="008C0450" w:rsidRPr="008C0450">
        <w:rPr>
          <w:rFonts w:ascii="Tahoma" w:hAnsi="Tahoma" w:cs="Tahoma"/>
          <w:sz w:val="24"/>
          <w:szCs w:val="24"/>
        </w:rPr>
        <w:t>(si pas de réouverture du droit d’option</w:t>
      </w:r>
      <w:r w:rsidR="008C0450">
        <w:rPr>
          <w:rFonts w:ascii="Tahoma" w:hAnsi="Tahoma" w:cs="Tahoma"/>
          <w:sz w:val="24"/>
          <w:szCs w:val="24"/>
        </w:rPr>
        <w:t>)</w:t>
      </w:r>
      <w:r w:rsidRPr="000A4B5D">
        <w:rPr>
          <w:rFonts w:ascii="Tahoma" w:hAnsi="Tahoma" w:cs="Tahoma"/>
          <w:sz w:val="24"/>
          <w:szCs w:val="24"/>
        </w:rPr>
        <w:t xml:space="preserve"> de la spécificité d’un groupe fermé dont la DG peut tout à fait mesurer les coûts en termes de promotion, dans un contexte de baisse des effectifs de Pôle emploi qui plus est (dénoncé et combattu par FO</w:t>
      </w:r>
      <w:r w:rsidR="00B27876">
        <w:rPr>
          <w:rFonts w:ascii="Tahoma" w:hAnsi="Tahoma" w:cs="Tahoma"/>
          <w:sz w:val="24"/>
          <w:szCs w:val="24"/>
        </w:rPr>
        <w:t xml:space="preserve"> dans un contexte de chômage de masse</w:t>
      </w:r>
      <w:r w:rsidRPr="000A4B5D">
        <w:rPr>
          <w:rFonts w:ascii="Tahoma" w:hAnsi="Tahoma" w:cs="Tahoma"/>
          <w:sz w:val="24"/>
          <w:szCs w:val="24"/>
        </w:rPr>
        <w:t>)</w:t>
      </w:r>
      <w:r w:rsidR="00B27876">
        <w:rPr>
          <w:rFonts w:ascii="Tahoma" w:hAnsi="Tahoma" w:cs="Tahoma"/>
          <w:sz w:val="24"/>
          <w:szCs w:val="24"/>
        </w:rPr>
        <w:t>.</w:t>
      </w:r>
    </w:p>
    <w:p w:rsidR="000A4B5D" w:rsidRDefault="000A4B5D" w:rsidP="000A4B5D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0A4B5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 </w:t>
      </w:r>
      <w:r w:rsidR="00B27876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Ce que nous revendiquons dans cette concertation</w:t>
      </w:r>
      <w:r w:rsidR="00762476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:</w:t>
      </w:r>
    </w:p>
    <w:p w:rsidR="007C0777" w:rsidRPr="000A4B5D" w:rsidRDefault="000A4B5D" w:rsidP="000A4B5D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- une</w:t>
      </w:r>
      <w:r w:rsidR="007C0777" w:rsidRPr="000A4B5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grille indiciaire revalorisée et déplafonnée. Aujourd’hui, 493 agents sont « au bout de leur grille ».</w:t>
      </w:r>
    </w:p>
    <w:p w:rsidR="007C0777" w:rsidRDefault="000A4B5D" w:rsidP="000A4B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-</w:t>
      </w:r>
      <w:r w:rsidR="00B27876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proofErr w:type="gramStart"/>
      <w:r w:rsidR="00B27876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l’ </w:t>
      </w:r>
      <w:r w:rsidRPr="000A4B5D">
        <w:rPr>
          <w:rFonts w:ascii="Tahoma" w:hAnsi="Tahoma" w:cs="Tahoma"/>
          <w:sz w:val="24"/>
          <w:szCs w:val="24"/>
        </w:rPr>
        <w:t>opportunités</w:t>
      </w:r>
      <w:proofErr w:type="gramEnd"/>
      <w:r w:rsidRPr="000A4B5D">
        <w:rPr>
          <w:rFonts w:ascii="Tahoma" w:hAnsi="Tahoma" w:cs="Tahoma"/>
          <w:sz w:val="24"/>
          <w:szCs w:val="24"/>
        </w:rPr>
        <w:t xml:space="preserve"> d’évolution en termes de mobilité professionnelle et géographique</w:t>
      </w:r>
      <w:r>
        <w:rPr>
          <w:rFonts w:ascii="Tahoma" w:hAnsi="Tahoma" w:cs="Tahoma"/>
          <w:sz w:val="24"/>
          <w:szCs w:val="24"/>
        </w:rPr>
        <w:t>.</w:t>
      </w:r>
    </w:p>
    <w:p w:rsidR="00C67FBB" w:rsidRDefault="00C67FBB" w:rsidP="000A4B5D">
      <w:pPr>
        <w:jc w:val="both"/>
        <w:rPr>
          <w:rFonts w:ascii="Tahoma" w:hAnsi="Tahoma" w:cs="Tahoma"/>
          <w:sz w:val="24"/>
          <w:szCs w:val="24"/>
        </w:rPr>
      </w:pPr>
    </w:p>
    <w:p w:rsidR="00C67FBB" w:rsidRDefault="00C67FBB" w:rsidP="00C67FBB">
      <w:pPr>
        <w:jc w:val="both"/>
        <w:rPr>
          <w:rFonts w:ascii="Tahoma" w:hAnsi="Tahoma" w:cs="Tahoma"/>
          <w:color w:val="A8D08D" w:themeColor="accent6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 w:val="24"/>
          <w:szCs w:val="24"/>
        </w:rPr>
        <w:t>Nous dénonçons encore le fait que l’un des interlocuteurs principaux, à savoir la DGAFP</w:t>
      </w:r>
      <w:r w:rsidR="00F637B3">
        <w:rPr>
          <w:rFonts w:ascii="Tahoma" w:hAnsi="Tahoma" w:cs="Tahoma"/>
          <w:sz w:val="24"/>
          <w:szCs w:val="24"/>
        </w:rPr>
        <w:t xml:space="preserve"> (direction générale de l’administration et de la fonction publique),</w:t>
      </w:r>
      <w:r w:rsidRPr="00F637B3">
        <w:rPr>
          <w:rFonts w:ascii="Tahoma" w:hAnsi="Tahoma" w:cs="Taho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ne soit pas présent lors de cette concertation, car au final, c’est elle qui </w:t>
      </w:r>
      <w:r w:rsidR="00B27876">
        <w:rPr>
          <w:rFonts w:ascii="Tahoma" w:hAnsi="Tahoma" w:cs="Tahoma"/>
          <w:sz w:val="24"/>
          <w:szCs w:val="24"/>
        </w:rPr>
        <w:t>décidera</w:t>
      </w:r>
      <w:r>
        <w:rPr>
          <w:rFonts w:ascii="Tahoma" w:hAnsi="Tahoma" w:cs="Tahoma"/>
          <w:sz w:val="24"/>
          <w:szCs w:val="24"/>
        </w:rPr>
        <w:t>.</w:t>
      </w:r>
    </w:p>
    <w:p w:rsidR="00606B8D" w:rsidRPr="00606B8D" w:rsidRDefault="00606B8D" w:rsidP="00C67FBB">
      <w:pPr>
        <w:jc w:val="both"/>
        <w:rPr>
          <w:rFonts w:ascii="Tahoma" w:hAnsi="Tahoma" w:cs="Tahoma"/>
          <w:color w:val="A8D08D" w:themeColor="accent6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0458" w:rsidRDefault="006B29AA" w:rsidP="00C67FB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Enfin, une nouvelle fois, nous avons exprimé notre total désaccord</w:t>
      </w:r>
      <w:r w:rsidR="00C67F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quant à la façon dont </w:t>
      </w:r>
      <w:r w:rsidR="00B27876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on</w:t>
      </w:r>
      <w:r w:rsidR="00B2787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trait</w:t>
      </w:r>
      <w:r w:rsidR="00B27876">
        <w:rPr>
          <w:rFonts w:ascii="Tahoma" w:hAnsi="Tahoma" w:cs="Tahoma"/>
          <w:sz w:val="24"/>
          <w:szCs w:val="24"/>
        </w:rPr>
        <w:t>é</w:t>
      </w:r>
      <w:proofErr w:type="gramEnd"/>
      <w:r>
        <w:rPr>
          <w:rFonts w:ascii="Tahoma" w:hAnsi="Tahoma" w:cs="Tahoma"/>
          <w:sz w:val="24"/>
          <w:szCs w:val="24"/>
        </w:rPr>
        <w:t xml:space="preserve"> les agents publics de Pôle emploi :</w:t>
      </w:r>
    </w:p>
    <w:p w:rsidR="00E40458" w:rsidRPr="00B27876" w:rsidRDefault="006B29AA" w:rsidP="00B27876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27876">
        <w:rPr>
          <w:rFonts w:ascii="Tahoma" w:hAnsi="Tahoma" w:cs="Tahoma"/>
          <w:sz w:val="24"/>
          <w:szCs w:val="24"/>
        </w:rPr>
        <w:t>un jour</w:t>
      </w:r>
      <w:r w:rsidR="00B27876" w:rsidRPr="00B27876">
        <w:rPr>
          <w:rFonts w:ascii="Tahoma" w:hAnsi="Tahoma" w:cs="Tahoma"/>
          <w:sz w:val="24"/>
          <w:szCs w:val="24"/>
        </w:rPr>
        <w:t xml:space="preserve"> </w:t>
      </w:r>
      <w:r w:rsidRPr="00B27876">
        <w:rPr>
          <w:rFonts w:ascii="Tahoma" w:hAnsi="Tahoma" w:cs="Tahoma"/>
          <w:sz w:val="24"/>
          <w:szCs w:val="24"/>
        </w:rPr>
        <w:t>fonctionnaire</w:t>
      </w:r>
      <w:r w:rsidR="00B27876" w:rsidRPr="00B27876">
        <w:rPr>
          <w:rFonts w:ascii="Tahoma" w:hAnsi="Tahoma" w:cs="Tahoma"/>
          <w:sz w:val="24"/>
          <w:szCs w:val="24"/>
        </w:rPr>
        <w:t>, et donc</w:t>
      </w:r>
      <w:r w:rsidRPr="00B27876">
        <w:rPr>
          <w:rFonts w:ascii="Tahoma" w:hAnsi="Tahoma" w:cs="Tahoma"/>
          <w:sz w:val="24"/>
          <w:szCs w:val="24"/>
        </w:rPr>
        <w:t xml:space="preserve"> avec le jour de carence</w:t>
      </w:r>
      <w:r w:rsidR="00B27876">
        <w:rPr>
          <w:rFonts w:ascii="Tahoma" w:hAnsi="Tahoma" w:cs="Tahoma"/>
          <w:sz w:val="24"/>
          <w:szCs w:val="24"/>
        </w:rPr>
        <w:t xml:space="preserve">, condamnable en soit, mais </w:t>
      </w:r>
      <w:r w:rsidR="00E40458" w:rsidRPr="00B27876">
        <w:rPr>
          <w:rFonts w:ascii="Tahoma" w:hAnsi="Tahoma" w:cs="Tahoma"/>
          <w:sz w:val="24"/>
          <w:szCs w:val="24"/>
        </w:rPr>
        <w:t>qui</w:t>
      </w:r>
      <w:r w:rsidR="00B27876">
        <w:rPr>
          <w:rFonts w:ascii="Tahoma" w:hAnsi="Tahoma" w:cs="Tahoma"/>
          <w:sz w:val="24"/>
          <w:szCs w:val="24"/>
        </w:rPr>
        <w:t xml:space="preserve"> en plus</w:t>
      </w:r>
      <w:r w:rsidR="00F84688" w:rsidRPr="00B27876">
        <w:rPr>
          <w:rFonts w:ascii="Tahoma" w:hAnsi="Tahoma" w:cs="Tahoma"/>
          <w:sz w:val="24"/>
          <w:szCs w:val="24"/>
        </w:rPr>
        <w:t xml:space="preserve"> </w:t>
      </w:r>
      <w:r w:rsidR="00E40458" w:rsidRPr="00B27876">
        <w:rPr>
          <w:rFonts w:ascii="Tahoma" w:hAnsi="Tahoma" w:cs="Tahoma"/>
          <w:sz w:val="24"/>
          <w:szCs w:val="24"/>
        </w:rPr>
        <w:t xml:space="preserve">instaure </w:t>
      </w:r>
      <w:r w:rsidR="00F84688" w:rsidRPr="00B27876">
        <w:rPr>
          <w:rFonts w:ascii="Tahoma" w:hAnsi="Tahoma" w:cs="Tahoma"/>
          <w:sz w:val="24"/>
          <w:szCs w:val="24"/>
        </w:rPr>
        <w:t xml:space="preserve">l’iniquité </w:t>
      </w:r>
      <w:r w:rsidR="00E40458" w:rsidRPr="00B27876">
        <w:rPr>
          <w:rFonts w:ascii="Tahoma" w:hAnsi="Tahoma" w:cs="Tahoma"/>
          <w:sz w:val="24"/>
          <w:szCs w:val="24"/>
        </w:rPr>
        <w:t>entre</w:t>
      </w:r>
      <w:r w:rsidR="00F84688" w:rsidRPr="00B27876">
        <w:rPr>
          <w:rFonts w:ascii="Tahoma" w:hAnsi="Tahoma" w:cs="Tahoma"/>
          <w:sz w:val="24"/>
          <w:szCs w:val="24"/>
        </w:rPr>
        <w:t xml:space="preserve"> agents</w:t>
      </w:r>
      <w:r w:rsidR="00E40458" w:rsidRPr="00B27876">
        <w:rPr>
          <w:rFonts w:ascii="Tahoma" w:hAnsi="Tahoma" w:cs="Tahoma"/>
          <w:sz w:val="24"/>
          <w:szCs w:val="24"/>
        </w:rPr>
        <w:t xml:space="preserve"> d’un même établissement</w:t>
      </w:r>
      <w:r w:rsidR="00B27876">
        <w:rPr>
          <w:rFonts w:ascii="Tahoma" w:hAnsi="Tahoma" w:cs="Tahoma"/>
          <w:sz w:val="24"/>
          <w:szCs w:val="24"/>
        </w:rPr>
        <w:t xml:space="preserve"> d’une même agence, d’un même service</w:t>
      </w:r>
      <w:r w:rsidRPr="00B27876">
        <w:rPr>
          <w:rFonts w:ascii="Tahoma" w:hAnsi="Tahoma" w:cs="Tahoma"/>
          <w:sz w:val="24"/>
          <w:szCs w:val="24"/>
        </w:rPr>
        <w:t xml:space="preserve">, </w:t>
      </w:r>
    </w:p>
    <w:p w:rsidR="00E40458" w:rsidRDefault="00B27876" w:rsidP="00C67FBB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12C4A">
        <w:rPr>
          <w:rFonts w:ascii="Tahoma" w:hAnsi="Tahoma" w:cs="Tahoma"/>
          <w:sz w:val="24"/>
          <w:szCs w:val="24"/>
        </w:rPr>
        <w:t>le lendemain</w:t>
      </w:r>
      <w:r w:rsidR="006B29AA" w:rsidRPr="00F12C4A">
        <w:rPr>
          <w:rFonts w:ascii="Tahoma" w:hAnsi="Tahoma" w:cs="Tahoma"/>
          <w:sz w:val="24"/>
          <w:szCs w:val="24"/>
        </w:rPr>
        <w:t xml:space="preserve"> agent </w:t>
      </w:r>
      <w:r w:rsidR="006766CA" w:rsidRPr="00F12C4A">
        <w:rPr>
          <w:rFonts w:ascii="Tahoma" w:hAnsi="Tahoma" w:cs="Tahoma"/>
          <w:sz w:val="24"/>
          <w:szCs w:val="24"/>
        </w:rPr>
        <w:t xml:space="preserve">« sui generis » </w:t>
      </w:r>
      <w:r w:rsidR="006B29AA" w:rsidRPr="00F12C4A">
        <w:rPr>
          <w:rFonts w:ascii="Tahoma" w:hAnsi="Tahoma" w:cs="Tahoma"/>
          <w:sz w:val="24"/>
          <w:szCs w:val="24"/>
        </w:rPr>
        <w:t xml:space="preserve">de Pôle emploi pour </w:t>
      </w:r>
      <w:r w:rsidR="00E40458" w:rsidRPr="00F12C4A">
        <w:rPr>
          <w:rFonts w:ascii="Tahoma" w:hAnsi="Tahoma" w:cs="Tahoma"/>
          <w:sz w:val="24"/>
          <w:szCs w:val="24"/>
        </w:rPr>
        <w:t>permettre le rapprochement avec</w:t>
      </w:r>
      <w:r w:rsidR="006B29AA" w:rsidRPr="00F12C4A">
        <w:rPr>
          <w:rFonts w:ascii="Tahoma" w:hAnsi="Tahoma" w:cs="Tahoma"/>
          <w:sz w:val="24"/>
          <w:szCs w:val="24"/>
        </w:rPr>
        <w:t xml:space="preserve"> la classification de droit privé et </w:t>
      </w:r>
      <w:r w:rsidRPr="00F12C4A">
        <w:rPr>
          <w:rFonts w:ascii="Tahoma" w:hAnsi="Tahoma" w:cs="Tahoma"/>
          <w:sz w:val="24"/>
          <w:szCs w:val="24"/>
        </w:rPr>
        <w:t xml:space="preserve">surtout </w:t>
      </w:r>
      <w:r w:rsidR="00E40458" w:rsidRPr="00F12C4A">
        <w:rPr>
          <w:rFonts w:ascii="Tahoma" w:hAnsi="Tahoma" w:cs="Tahoma"/>
          <w:sz w:val="24"/>
          <w:szCs w:val="24"/>
        </w:rPr>
        <w:t xml:space="preserve">le </w:t>
      </w:r>
      <w:r w:rsidR="006B29AA" w:rsidRPr="00F12C4A">
        <w:rPr>
          <w:rFonts w:ascii="Tahoma" w:hAnsi="Tahoma" w:cs="Tahoma"/>
          <w:sz w:val="24"/>
          <w:szCs w:val="24"/>
        </w:rPr>
        <w:t>référentiel métier</w:t>
      </w:r>
      <w:r w:rsidR="00F12C4A" w:rsidRPr="00F12C4A">
        <w:rPr>
          <w:rFonts w:ascii="Tahoma" w:hAnsi="Tahoma" w:cs="Tahoma"/>
          <w:sz w:val="24"/>
          <w:szCs w:val="24"/>
        </w:rPr>
        <w:t>.</w:t>
      </w:r>
      <w:r w:rsidR="006B29AA" w:rsidRPr="00F12C4A">
        <w:rPr>
          <w:rFonts w:ascii="Tahoma" w:hAnsi="Tahoma" w:cs="Tahoma"/>
          <w:sz w:val="24"/>
          <w:szCs w:val="24"/>
        </w:rPr>
        <w:t xml:space="preserve"> </w:t>
      </w:r>
    </w:p>
    <w:p w:rsidR="00F12C4A" w:rsidRPr="00F12C4A" w:rsidRDefault="00F12C4A" w:rsidP="00F12C4A">
      <w:pPr>
        <w:pStyle w:val="Paragraphedeliste"/>
        <w:ind w:left="360"/>
        <w:jc w:val="both"/>
        <w:rPr>
          <w:rFonts w:ascii="Tahoma" w:hAnsi="Tahoma" w:cs="Tahoma"/>
          <w:sz w:val="24"/>
          <w:szCs w:val="24"/>
        </w:rPr>
      </w:pPr>
    </w:p>
    <w:p w:rsidR="000A4B5D" w:rsidRDefault="00E40458" w:rsidP="00F12C4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606B8D">
        <w:rPr>
          <w:rFonts w:ascii="Tahoma" w:hAnsi="Tahoma" w:cs="Tahoma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 prochaine</w:t>
      </w:r>
      <w:r w:rsidR="00606B8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réunion</w:t>
      </w:r>
      <w:r w:rsidR="00606B8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de concertation </w:t>
      </w:r>
      <w:r w:rsidR="00606B8D">
        <w:rPr>
          <w:rFonts w:ascii="Tahoma" w:hAnsi="Tahoma" w:cs="Tahoma"/>
          <w:sz w:val="24"/>
          <w:szCs w:val="24"/>
        </w:rPr>
        <w:t>seront</w:t>
      </w:r>
      <w:r>
        <w:rPr>
          <w:rFonts w:ascii="Tahoma" w:hAnsi="Tahoma" w:cs="Tahoma"/>
          <w:sz w:val="24"/>
          <w:szCs w:val="24"/>
        </w:rPr>
        <w:t xml:space="preserve"> le 7 mars</w:t>
      </w:r>
      <w:r w:rsidR="00606B8D">
        <w:rPr>
          <w:rFonts w:ascii="Tahoma" w:hAnsi="Tahoma" w:cs="Tahoma"/>
          <w:sz w:val="24"/>
          <w:szCs w:val="24"/>
        </w:rPr>
        <w:t xml:space="preserve"> et le 22 mars 201</w:t>
      </w:r>
      <w:r w:rsidR="00F12C4A">
        <w:rPr>
          <w:rFonts w:ascii="Tahoma" w:hAnsi="Tahoma" w:cs="Tahoma"/>
          <w:sz w:val="24"/>
          <w:szCs w:val="24"/>
        </w:rPr>
        <w:t>8</w:t>
      </w:r>
    </w:p>
    <w:p w:rsidR="00F12C4A" w:rsidRPr="00B337A2" w:rsidRDefault="00F12C4A" w:rsidP="00F12C4A">
      <w:pPr>
        <w:jc w:val="both"/>
        <w:rPr>
          <w:rFonts w:ascii="Tahoma" w:hAnsi="Tahoma" w:cs="Tahoma"/>
          <w:sz w:val="24"/>
          <w:szCs w:val="24"/>
        </w:rPr>
      </w:pPr>
    </w:p>
    <w:p w:rsidR="000A4B5D" w:rsidRDefault="00134580" w:rsidP="000A4B5D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Cette dernière date pose d’ores et déjà un problème. Il y a un appel à mobilisation de toute la fonction public ce jour-là, et de pratiquement toutes les organisations syndicales du secteur.</w:t>
      </w:r>
    </w:p>
    <w:p w:rsidR="00134580" w:rsidRDefault="00134580" w:rsidP="000A4B5D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Comme il s’agit de s’opposer à la suppression de 120 000 agents du secteur public, tout statut confondu, cette affaire concerne tous les agents de PE.</w:t>
      </w:r>
    </w:p>
    <w:p w:rsidR="007C0777" w:rsidRDefault="00134580" w:rsidP="00F12C4A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Quand il s’agit de la défense de nos emplois, comment aller s’assoir à une table de concertation qui blablaterait sur d’éventuelles évolutions statutaires, dès lors qu’on nous parle de nous « virer »</w:t>
      </w:r>
      <w:r w:rsidR="00F12C4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.</w:t>
      </w:r>
      <w:r w:rsidR="00F12C4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sectPr w:rsidR="007C0777" w:rsidSect="00B337A2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3D71"/>
    <w:multiLevelType w:val="hybridMultilevel"/>
    <w:tmpl w:val="D28CB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9269CC"/>
    <w:multiLevelType w:val="hybridMultilevel"/>
    <w:tmpl w:val="B972C412"/>
    <w:lvl w:ilvl="0" w:tplc="00BA5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2E"/>
    <w:rsid w:val="000A4B5D"/>
    <w:rsid w:val="000D6335"/>
    <w:rsid w:val="00134580"/>
    <w:rsid w:val="001B4EDD"/>
    <w:rsid w:val="00326B55"/>
    <w:rsid w:val="005C04DF"/>
    <w:rsid w:val="00606B8D"/>
    <w:rsid w:val="006766CA"/>
    <w:rsid w:val="006B29AA"/>
    <w:rsid w:val="00762476"/>
    <w:rsid w:val="007C0777"/>
    <w:rsid w:val="008C0450"/>
    <w:rsid w:val="009367DD"/>
    <w:rsid w:val="00A27301"/>
    <w:rsid w:val="00B27876"/>
    <w:rsid w:val="00B337A2"/>
    <w:rsid w:val="00C67FBB"/>
    <w:rsid w:val="00E40458"/>
    <w:rsid w:val="00F12C4A"/>
    <w:rsid w:val="00F44748"/>
    <w:rsid w:val="00F4562E"/>
    <w:rsid w:val="00F637B3"/>
    <w:rsid w:val="00F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33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637B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367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7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7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7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33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637B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367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7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7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385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99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652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43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433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999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668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34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92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PAUTTE</dc:creator>
  <cp:lastModifiedBy>pautte</cp:lastModifiedBy>
  <cp:revision>3</cp:revision>
  <dcterms:created xsi:type="dcterms:W3CDTF">2018-02-08T06:16:00Z</dcterms:created>
  <dcterms:modified xsi:type="dcterms:W3CDTF">2018-02-08T06:18:00Z</dcterms:modified>
</cp:coreProperties>
</file>